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黑体_GBK" w:hAnsi="华文仿宋" w:eastAsia="方正黑体_GBK"/>
          <w:snapToGrid w:val="0"/>
          <w:sz w:val="32"/>
          <w:szCs w:val="32"/>
        </w:rPr>
      </w:pPr>
      <w:bookmarkStart w:id="0" w:name="_GoBack"/>
      <w:r>
        <w:rPr>
          <w:rFonts w:hint="eastAsia" w:ascii="方正黑体_GBK" w:hAnsi="华文仿宋" w:eastAsia="方正黑体_GBK" w:cs="Arial"/>
          <w:snapToGrid w:val="0"/>
          <w:color w:val="333333"/>
          <w:sz w:val="32"/>
          <w:szCs w:val="32"/>
        </w:rPr>
        <w:t>附件2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_GBK" w:eastAsia="方正小标宋_GBK"/>
          <w:snapToGrid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sz w:val="44"/>
          <w:szCs w:val="44"/>
        </w:rPr>
        <w:t>金融机构复产复工指南</w:t>
      </w:r>
    </w:p>
    <w:bookmarkEnd w:id="0"/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一、金融机构恢复营业前按程序向黔江银保监分局石柱监管组、县金融工作办公室提交《企业复产复工报备表》《企业复产复工疫情防控承诺书》，并通过现场核实验收。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二、履行疫情防控主体责任，主要负责人或授权管理人在现场负责防疫工作。成立疫情防控领导小组，制定防疫工作方案，建立信息报告制度。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三、建立内部巡查制度、举报制度、应急处置制度，出现疑似、确诊病例要第一时间封锁疫区、限制人员聚集流动。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四、开展人员排查，严查返岗前14天活动轨迹，建立“一人一表”健康档案，开展防疫知识岗前培训。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五、配备充足的口罩、体温测量器、消毒液等基础防护物资。设置口罩等防护废弃物的专用收集桶, 实行专人管理，生活垃圾妥善处理。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Times New Roman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六、制定消毒制度，对营业、食堂等场所开展集中消毒，每2小时对有多人操作的设施设备进行消毒。保持室内充分通风透气，卫生整洁，设立单一出入口。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七、建立体温监测制度，进入经营场所必测体温，发现有发热等异常情况及时报告。设置异常情况临时隔离观察区域。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八、食堂设置出入口，就餐员工单向流动，分时段、分批次就餐，实行分餐制，尽可能同向座位就餐，就餐时相隔1.5米以上。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九、制定人员管控制度，25平方米以下营业大厅人员控制在4人以下，25—60平方米营业大厅人员控制在6人以下，60平方米以上营业大厅人员控制在8人以下。设置引导员，人与人距离保持1.5米以上。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十、开展安全生产（消防安全）检查，对经营场所、公共设施、公用物品定期消毒。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十一、发现病例企业及疫情播散企业，要在专业机构的指导下，实施内防蔓延、外防输出的防控策略，采取组织动员、健康教育、信息告知、人员管理、环境卫生治理、物资准备、密切接触者管理、消毒、疫区封锁、限制人员聚集等防护措施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十二、主动配合属地政府开展防疫检查，发现问题立即整改。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6764"/>
    <w:rsid w:val="309F6764"/>
    <w:rsid w:val="5BB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2020-03-02T03:40:00Z</dcterms:created>
  <dc:creator>Intro</dc:creator>
  <cp:lastModifiedBy>Intro</cp:lastModifiedBy>
  <dcterms:modified xsi:type="dcterms:W3CDTF">2020-03-02T03:44:26Z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