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黑体_GBK" w:hAnsi="华文仿宋" w:eastAsia="方正黑体_GBK"/>
          <w:snapToGrid w:val="0"/>
          <w:sz w:val="32"/>
          <w:szCs w:val="32"/>
        </w:rPr>
      </w:pPr>
      <w:r>
        <w:rPr>
          <w:rFonts w:hint="eastAsia" w:ascii="方正黑体_GBK" w:hAnsi="华文仿宋" w:eastAsia="方正黑体_GBK"/>
          <w:snapToGrid w:val="0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hint="eastAsia" w:ascii="方正仿宋_GBK" w:hAnsi="华文仿宋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华文仿宋" w:eastAsia="方正小标宋_GBK"/>
          <w:snapToGrid w:val="0"/>
          <w:sz w:val="44"/>
          <w:szCs w:val="44"/>
        </w:rPr>
      </w:pPr>
      <w:bookmarkStart w:id="0" w:name="_GoBack"/>
      <w:r>
        <w:rPr>
          <w:rFonts w:hint="eastAsia" w:ascii="方正小标宋_GBK" w:hAnsi="华文仿宋" w:eastAsia="方正小标宋_GBK"/>
          <w:snapToGrid w:val="0"/>
          <w:sz w:val="44"/>
          <w:szCs w:val="44"/>
        </w:rPr>
        <w:t>电力燃气营业厅复产复工指南</w:t>
      </w:r>
    </w:p>
    <w:bookmarkEnd w:id="0"/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一、防护物资储备。</w:t>
      </w: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各营业厅要储备足量口罩、消毒剂、测温仪等疫情防控物资。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二、正确佩戴口罩。</w:t>
      </w: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营业厅工作人员、外来人员进入营业厅办理业务和交费必须正确佩戴口罩。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三、监测登记制度。</w:t>
      </w: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进入营业厅人员必须执行体温监测制度，做好信息登记。对体温检测异常的人员立即劝离就医，及时上报所在乡镇（街道）。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四、加强人员消毒。</w:t>
      </w: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外来人员进入营业厅必须对手进行消毒，切实阻断病毒传播。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五、做好环境卫生。</w:t>
      </w: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每天早晚必须对营业厅场所进行全面消毒，切实做好环境卫生保洁工作，每次消毒后，认真做好信息登记。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六、落实引导人员。</w:t>
      </w: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每个营业厅外必须落实1—2名引导员，主要负责维护现场秩序，引导人员排队，人与人之间间隔必须保持在1米以上，同时指导现场人员推行网络交费。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七、严控外来人数</w:t>
      </w:r>
      <w:r>
        <w:rPr>
          <w:rFonts w:hint="eastAsia" w:ascii="方正仿宋_GBK" w:hAnsi="华文仿宋" w:eastAsia="方正仿宋_GBK" w:cs="Arial"/>
          <w:bCs/>
          <w:snapToGrid w:val="0"/>
          <w:color w:val="333333"/>
          <w:sz w:val="32"/>
          <w:szCs w:val="32"/>
        </w:rPr>
        <w:t>。</w:t>
      </w: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在营业厅内，严格控制外来办理业务和交费的人员数量，每个窗口不能超过2人，且距离必须保持在1米以上。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6764"/>
    <w:rsid w:val="309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2020-03-02T03:40:00Z</dcterms:created>
  <dc:creator>Intro</dc:creator>
  <cp:lastModifiedBy>Intro</cp:lastModifiedBy>
  <dcterms:modified xsi:type="dcterms:W3CDTF">2020-03-02T03:43:09Z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